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927CE7" w:rsidRDefault="00D03C14" w:rsidP="00D03C14">
      <w:pPr>
        <w:jc w:val="center"/>
        <w:rPr>
          <w:b/>
          <w:bCs/>
        </w:rPr>
      </w:pP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 xml:space="preserve">Сессия </w:t>
      </w:r>
      <w:r w:rsidRPr="000427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24</w:t>
      </w:r>
      <w:r w:rsidRPr="0004277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042775">
        <w:rPr>
          <w:sz w:val="28"/>
          <w:szCs w:val="28"/>
        </w:rPr>
        <w:t xml:space="preserve"> 2021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Pr="000427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2D6416">
        <w:rPr>
          <w:b/>
          <w:sz w:val="28"/>
          <w:szCs w:val="28"/>
        </w:rPr>
        <w:t>1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D03C14" w:rsidRDefault="00D03C14" w:rsidP="00C75B4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75B43">
        <w:rPr>
          <w:b/>
          <w:bCs/>
          <w:color w:val="000000"/>
          <w:sz w:val="28"/>
          <w:szCs w:val="28"/>
        </w:rPr>
        <w:t>Городско</w:t>
      </w:r>
      <w:r w:rsidR="00562FE9">
        <w:rPr>
          <w:b/>
          <w:bCs/>
          <w:color w:val="000000"/>
          <w:sz w:val="28"/>
          <w:szCs w:val="28"/>
        </w:rPr>
        <w:t>го</w:t>
      </w:r>
      <w:r w:rsidR="00C75B43">
        <w:rPr>
          <w:b/>
          <w:bCs/>
          <w:color w:val="000000"/>
          <w:sz w:val="28"/>
          <w:szCs w:val="28"/>
        </w:rPr>
        <w:t xml:space="preserve"> поселении Суслонгер</w:t>
      </w:r>
    </w:p>
    <w:p w:rsidR="00C75B43" w:rsidRPr="00700821" w:rsidRDefault="00C75B43" w:rsidP="00C75B43">
      <w:pPr>
        <w:jc w:val="center"/>
        <w:rPr>
          <w:b/>
          <w:color w:val="000000"/>
        </w:rPr>
      </w:pPr>
    </w:p>
    <w:p w:rsidR="00C75B43" w:rsidRDefault="00D03C14" w:rsidP="00C75B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C75B43" w:rsidRPr="00C75B43">
        <w:rPr>
          <w:bCs/>
          <w:color w:val="000000"/>
          <w:sz w:val="28"/>
          <w:szCs w:val="28"/>
        </w:rPr>
        <w:t xml:space="preserve"> </w:t>
      </w:r>
      <w:r w:rsidR="00C75B43"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="00C75B43">
        <w:rPr>
          <w:bCs/>
          <w:color w:val="000000"/>
          <w:sz w:val="28"/>
          <w:szCs w:val="28"/>
        </w:rPr>
        <w:t>,</w:t>
      </w:r>
    </w:p>
    <w:p w:rsidR="00C75B43" w:rsidRDefault="00C75B43" w:rsidP="00C75B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РЕШИЛО:</w:t>
      </w:r>
    </w:p>
    <w:p w:rsidR="00C75B43" w:rsidRDefault="00C75B43" w:rsidP="00C75B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5B43" w:rsidRDefault="00D03C14" w:rsidP="00C75B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75B43"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="00C75B43">
        <w:rPr>
          <w:color w:val="000000"/>
          <w:sz w:val="28"/>
          <w:szCs w:val="28"/>
        </w:rPr>
        <w:t>.</w:t>
      </w:r>
    </w:p>
    <w:p w:rsidR="00D03C14" w:rsidRPr="008629D3" w:rsidRDefault="00D03C14" w:rsidP="00C75B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C75B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75B43"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75B43"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A94C51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C75B43" w:rsidRPr="00A94C51" w:rsidRDefault="00C75B43" w:rsidP="00C75B43">
      <w:pPr>
        <w:rPr>
          <w:bCs/>
          <w:color w:val="000000"/>
          <w:sz w:val="28"/>
          <w:szCs w:val="28"/>
        </w:rPr>
      </w:pPr>
    </w:p>
    <w:p w:rsidR="00C75B43" w:rsidRDefault="00C75B43" w:rsidP="00C75B43">
      <w:pPr>
        <w:rPr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C75B43" w:rsidRPr="004969CD" w:rsidRDefault="00C75B43" w:rsidP="00C75B43">
      <w:pPr>
        <w:tabs>
          <w:tab w:val="num" w:pos="200"/>
        </w:tabs>
        <w:ind w:left="4536"/>
        <w:jc w:val="center"/>
        <w:outlineLvl w:val="0"/>
      </w:pPr>
      <w:r w:rsidRPr="004969CD">
        <w:t>УТВЕРЖДЕНО</w:t>
      </w:r>
    </w:p>
    <w:p w:rsidR="00C75B43" w:rsidRDefault="00C75B43" w:rsidP="00C75B43">
      <w:pPr>
        <w:ind w:left="4536"/>
        <w:jc w:val="center"/>
        <w:rPr>
          <w:bCs/>
          <w:color w:val="000000"/>
          <w:szCs w:val="28"/>
        </w:rPr>
      </w:pPr>
      <w:r w:rsidRPr="004969CD">
        <w:rPr>
          <w:color w:val="000000"/>
        </w:rPr>
        <w:t xml:space="preserve">решением 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Cs w:val="28"/>
        </w:rPr>
        <w:t>обрания депутатов</w:t>
      </w:r>
    </w:p>
    <w:p w:rsidR="00C75B43" w:rsidRPr="00042775" w:rsidRDefault="00C75B43" w:rsidP="00C75B43">
      <w:pPr>
        <w:ind w:left="4536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Городского поселения Суслонгер</w:t>
      </w:r>
    </w:p>
    <w:p w:rsidR="00C75B43" w:rsidRPr="004969CD" w:rsidRDefault="00C75B43" w:rsidP="00C75B43">
      <w:pPr>
        <w:tabs>
          <w:tab w:val="num" w:pos="200"/>
        </w:tabs>
        <w:ind w:left="4536"/>
        <w:jc w:val="center"/>
        <w:outlineLvl w:val="0"/>
      </w:pPr>
      <w:r w:rsidRPr="004969CD">
        <w:t xml:space="preserve">от </w:t>
      </w:r>
      <w:r>
        <w:t>24 сентября</w:t>
      </w:r>
      <w:r w:rsidRPr="004969CD">
        <w:t xml:space="preserve"> 2021 №</w:t>
      </w:r>
      <w:r>
        <w:t>15</w:t>
      </w:r>
      <w:r w:rsidR="002D6416">
        <w:t>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C75B43" w:rsidRPr="004969CD" w:rsidRDefault="00D03C14" w:rsidP="00C75B43">
      <w:pPr>
        <w:spacing w:line="360" w:lineRule="auto"/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75B43" w:rsidRPr="00042775">
        <w:rPr>
          <w:b/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</w:p>
    <w:p w:rsidR="00D03C14" w:rsidRPr="00700821" w:rsidRDefault="00D03C14" w:rsidP="00D03C14">
      <w:pPr>
        <w:jc w:val="center"/>
        <w:rPr>
          <w:i/>
          <w:iCs/>
          <w:color w:val="000000"/>
        </w:rPr>
      </w:pP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75B43"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</w:t>
      </w:r>
      <w:bookmarkStart w:id="0" w:name="_GoBack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75B43"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bookmarkEnd w:id="0"/>
      <w:r w:rsidR="00C75B43"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Суслонгер Звениговского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562FE9">
        <w:rPr>
          <w:color w:val="000000"/>
          <w:sz w:val="28"/>
          <w:szCs w:val="28"/>
        </w:rPr>
        <w:t xml:space="preserve">Суслонгерской городской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C75B43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C75B43">
        <w:rPr>
          <w:color w:val="000000"/>
          <w:sz w:val="28"/>
          <w:szCs w:val="28"/>
        </w:rPr>
        <w:t>глава Суслонгерской городской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75B43">
        <w:rPr>
          <w:sz w:val="28"/>
          <w:szCs w:val="28"/>
        </w:rPr>
        <w:t>Городского поселения Суслонгер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75B43" w:rsidRPr="00C75B43">
        <w:rPr>
          <w:color w:val="000000"/>
          <w:sz w:val="28"/>
        </w:rPr>
        <w:t>Городского поселения Суслонгер</w:t>
      </w:r>
      <w:r w:rsidRPr="00C75B43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75B43" w:rsidRPr="00C75B43">
        <w:rPr>
          <w:color w:val="000000"/>
          <w:sz w:val="28"/>
        </w:rPr>
        <w:t>Городского поселения Суслонгер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62FE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562FE9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2) элементы улично-дорожной сети (аллеи, бульвары, магистрали, </w:t>
      </w:r>
      <w:r w:rsidRPr="00700821">
        <w:rPr>
          <w:color w:val="000000"/>
          <w:sz w:val="28"/>
          <w:szCs w:val="28"/>
        </w:rPr>
        <w:lastRenderedPageBreak/>
        <w:t>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Городское поселения Суслонгер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>казанный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0856C7">
        <w:rPr>
          <w:color w:val="000000"/>
          <w:sz w:val="28"/>
          <w:szCs w:val="28"/>
        </w:rPr>
        <w:t>Суслонгерской городской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="000856C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0856C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463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856C7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463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04AE" w:rsidRPr="0086034C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Городского поселения Суслонгер Звениговского муниципального района Республики Марий Эл.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="00463FD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Федерации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«О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D641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F7" w:rsidRDefault="00C12AF7" w:rsidP="00D03C14">
      <w:r>
        <w:separator/>
      </w:r>
    </w:p>
  </w:endnote>
  <w:endnote w:type="continuationSeparator" w:id="0">
    <w:p w:rsidR="00C12AF7" w:rsidRDefault="00C12AF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F7" w:rsidRDefault="00C12AF7" w:rsidP="00D03C14">
      <w:r>
        <w:separator/>
      </w:r>
    </w:p>
  </w:footnote>
  <w:footnote w:type="continuationSeparator" w:id="0">
    <w:p w:rsidR="00C12AF7" w:rsidRDefault="00C12AF7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 w:rsidRPr="00BE73E0">
        <w:rPr>
          <w:color w:val="000000"/>
          <w:shd w:val="clear" w:color="auto" w:fill="FFFFFF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Правительства Российской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 w:rsidRPr="00BE73E0">
        <w:rPr>
          <w:color w:val="000000"/>
          <w:shd w:val="clear" w:color="auto" w:fill="FFFFFF"/>
        </w:rPr>
        <w:t xml:space="preserve">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proofErr w:type="gram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</w:t>
      </w:r>
      <w:proofErr w:type="spellStart"/>
      <w:r w:rsidRPr="00E70AC2">
        <w:rPr>
          <w:color w:val="000000"/>
          <w:shd w:val="clear" w:color="auto" w:fill="FFFFFF"/>
        </w:rPr>
        <w:t>самоуправления</w:t>
      </w:r>
      <w:proofErr w:type="gramStart"/>
      <w:r w:rsidRPr="00E70AC2">
        <w:rPr>
          <w:color w:val="000000"/>
          <w:shd w:val="clear" w:color="auto" w:fill="FFFFFF"/>
        </w:rPr>
        <w:t>»в</w:t>
      </w:r>
      <w:proofErr w:type="spellEnd"/>
      <w:proofErr w:type="gramEnd"/>
      <w:r w:rsidRPr="00E70AC2">
        <w:rPr>
          <w:color w:val="00000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>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52E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D641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52E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416">
      <w:rPr>
        <w:rStyle w:val="afb"/>
        <w:noProof/>
      </w:rPr>
      <w:t>29</w:t>
    </w:r>
    <w:r>
      <w:rPr>
        <w:rStyle w:val="afb"/>
      </w:rPr>
      <w:fldChar w:fldCharType="end"/>
    </w:r>
  </w:p>
  <w:p w:rsidR="00E90F25" w:rsidRDefault="002D641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58D1"/>
    <w:rsid w:val="000856C7"/>
    <w:rsid w:val="002A17C3"/>
    <w:rsid w:val="002B22BD"/>
    <w:rsid w:val="002D6416"/>
    <w:rsid w:val="00463FD4"/>
    <w:rsid w:val="00562FE9"/>
    <w:rsid w:val="006B537C"/>
    <w:rsid w:val="007100F8"/>
    <w:rsid w:val="008629D3"/>
    <w:rsid w:val="00935631"/>
    <w:rsid w:val="009D07EB"/>
    <w:rsid w:val="00A904AE"/>
    <w:rsid w:val="00B44C08"/>
    <w:rsid w:val="00B93B4F"/>
    <w:rsid w:val="00C12AF7"/>
    <w:rsid w:val="00C75B43"/>
    <w:rsid w:val="00D03C14"/>
    <w:rsid w:val="00E5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460A-E708-4F78-A47D-E8AF2733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2021-09-24T12:51:00Z</cp:lastPrinted>
  <dcterms:created xsi:type="dcterms:W3CDTF">2021-08-23T11:09:00Z</dcterms:created>
  <dcterms:modified xsi:type="dcterms:W3CDTF">2021-09-24T12:52:00Z</dcterms:modified>
</cp:coreProperties>
</file>